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5"/>
        <w:gridCol w:w="7915"/>
      </w:tblGrid>
      <w:tr w:rsidR="00660148" w:rsidRPr="00B266F1" w:rsidTr="00660148">
        <w:tc>
          <w:tcPr>
            <w:tcW w:w="12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148" w:rsidRPr="00B266F1" w:rsidRDefault="00660148" w:rsidP="00821CF1">
            <w:pPr>
              <w:spacing w:after="300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0148" w:rsidRPr="00B266F1" w:rsidRDefault="00660148" w:rsidP="00821CF1">
            <w:pPr>
              <w:spacing w:after="300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E267DF" w:rsidRPr="007C2321" w:rsidRDefault="00083972">
      <w:pPr>
        <w:rPr>
          <w:b/>
          <w:sz w:val="24"/>
          <w:szCs w:val="24"/>
        </w:rPr>
      </w:pPr>
      <w:r w:rsidRPr="007C2321">
        <w:rPr>
          <w:b/>
          <w:sz w:val="24"/>
          <w:szCs w:val="24"/>
        </w:rPr>
        <w:t>S</w:t>
      </w:r>
      <w:r w:rsidR="00E267DF" w:rsidRPr="007C2321">
        <w:rPr>
          <w:b/>
          <w:sz w:val="24"/>
          <w:szCs w:val="24"/>
        </w:rPr>
        <w:t xml:space="preserve">TAT/BIST 6494-05 </w:t>
      </w:r>
    </w:p>
    <w:p w:rsidR="00E267DF" w:rsidRPr="00245821" w:rsidRDefault="00E267DF">
      <w:pPr>
        <w:rPr>
          <w:b/>
          <w:sz w:val="24"/>
          <w:szCs w:val="24"/>
        </w:rPr>
      </w:pPr>
      <w:r w:rsidRPr="00245821">
        <w:rPr>
          <w:b/>
          <w:sz w:val="24"/>
          <w:szCs w:val="24"/>
          <w:shd w:val="clear" w:color="auto" w:fill="FFFFFF"/>
        </w:rPr>
        <w:t xml:space="preserve">Nonparametric </w:t>
      </w:r>
      <w:r w:rsidR="00660148" w:rsidRPr="00245821">
        <w:rPr>
          <w:b/>
          <w:sz w:val="24"/>
          <w:szCs w:val="24"/>
          <w:shd w:val="clear" w:color="auto" w:fill="FFFFFF"/>
        </w:rPr>
        <w:t>Bayesian</w:t>
      </w:r>
      <w:r w:rsidR="00660148">
        <w:rPr>
          <w:b/>
          <w:sz w:val="24"/>
          <w:szCs w:val="24"/>
          <w:shd w:val="clear" w:color="auto" w:fill="FFFFFF"/>
        </w:rPr>
        <w:t xml:space="preserve"> </w:t>
      </w:r>
      <w:r w:rsidR="00245821">
        <w:rPr>
          <w:b/>
          <w:sz w:val="24"/>
          <w:szCs w:val="24"/>
          <w:shd w:val="clear" w:color="auto" w:fill="FFFFFF"/>
        </w:rPr>
        <w:t>I</w:t>
      </w:r>
      <w:r w:rsidRPr="00245821">
        <w:rPr>
          <w:b/>
          <w:sz w:val="24"/>
          <w:szCs w:val="24"/>
          <w:shd w:val="clear" w:color="auto" w:fill="FFFFFF"/>
        </w:rPr>
        <w:t xml:space="preserve">nference in </w:t>
      </w:r>
      <w:r w:rsidR="00245821">
        <w:rPr>
          <w:b/>
          <w:sz w:val="24"/>
          <w:szCs w:val="24"/>
          <w:shd w:val="clear" w:color="auto" w:fill="FFFFFF"/>
        </w:rPr>
        <w:t>B</w:t>
      </w:r>
      <w:r w:rsidRPr="00245821">
        <w:rPr>
          <w:b/>
          <w:sz w:val="24"/>
          <w:szCs w:val="24"/>
          <w:shd w:val="clear" w:color="auto" w:fill="FFFFFF"/>
        </w:rPr>
        <w:t>iostatistics</w:t>
      </w:r>
      <w:r w:rsidRPr="00245821">
        <w:rPr>
          <w:b/>
          <w:sz w:val="24"/>
          <w:szCs w:val="24"/>
        </w:rPr>
        <w:br/>
      </w:r>
    </w:p>
    <w:p w:rsidR="00083972" w:rsidRPr="007C2321" w:rsidRDefault="00083972">
      <w:pPr>
        <w:rPr>
          <w:sz w:val="24"/>
          <w:szCs w:val="24"/>
        </w:rPr>
      </w:pPr>
      <w:r w:rsidRPr="007C2321">
        <w:rPr>
          <w:b/>
          <w:sz w:val="24"/>
          <w:szCs w:val="24"/>
        </w:rPr>
        <w:t>Time and Place</w:t>
      </w:r>
      <w:r w:rsidRPr="007C2321">
        <w:rPr>
          <w:sz w:val="24"/>
          <w:szCs w:val="24"/>
        </w:rPr>
        <w:t>: M 2</w:t>
      </w:r>
      <w:r w:rsidR="00E267DF" w:rsidRPr="007C2321">
        <w:rPr>
          <w:sz w:val="24"/>
          <w:szCs w:val="24"/>
        </w:rPr>
        <w:t>:30-3:20, 3:25-4:15</w:t>
      </w:r>
      <w:r w:rsidRPr="007C2321">
        <w:rPr>
          <w:sz w:val="24"/>
          <w:szCs w:val="24"/>
        </w:rPr>
        <w:t xml:space="preserve"> and W 2</w:t>
      </w:r>
      <w:r w:rsidR="00E267DF" w:rsidRPr="007C2321">
        <w:rPr>
          <w:sz w:val="24"/>
          <w:szCs w:val="24"/>
        </w:rPr>
        <w:t xml:space="preserve">:30 </w:t>
      </w:r>
      <w:r w:rsidRPr="007C2321">
        <w:rPr>
          <w:sz w:val="24"/>
          <w:szCs w:val="24"/>
        </w:rPr>
        <w:t>-</w:t>
      </w:r>
      <w:r w:rsidR="00E267DF" w:rsidRPr="007C2321">
        <w:rPr>
          <w:sz w:val="24"/>
          <w:szCs w:val="24"/>
        </w:rPr>
        <w:t>3:20</w:t>
      </w:r>
      <w:r w:rsidRPr="007C2321">
        <w:rPr>
          <w:sz w:val="24"/>
          <w:szCs w:val="24"/>
        </w:rPr>
        <w:t xml:space="preserve">, </w:t>
      </w:r>
      <w:r w:rsidR="00E267DF" w:rsidRPr="007C2321">
        <w:rPr>
          <w:sz w:val="24"/>
          <w:szCs w:val="24"/>
        </w:rPr>
        <w:t>AUST 344</w:t>
      </w:r>
      <w:r w:rsidRPr="007C2321">
        <w:rPr>
          <w:sz w:val="24"/>
          <w:szCs w:val="24"/>
        </w:rPr>
        <w:cr/>
      </w:r>
    </w:p>
    <w:p w:rsidR="00083972" w:rsidRPr="007C2321" w:rsidRDefault="00083972">
      <w:pPr>
        <w:rPr>
          <w:sz w:val="24"/>
          <w:szCs w:val="24"/>
        </w:rPr>
      </w:pPr>
      <w:r w:rsidRPr="007C2321">
        <w:rPr>
          <w:sz w:val="24"/>
          <w:szCs w:val="24"/>
        </w:rPr>
        <w:cr/>
      </w:r>
    </w:p>
    <w:p w:rsidR="00083972" w:rsidRDefault="00083972">
      <w:pPr>
        <w:rPr>
          <w:sz w:val="24"/>
          <w:szCs w:val="24"/>
        </w:rPr>
      </w:pPr>
      <w:r w:rsidRPr="007C2321">
        <w:rPr>
          <w:b/>
          <w:sz w:val="24"/>
          <w:szCs w:val="24"/>
        </w:rPr>
        <w:t>Instructor</w:t>
      </w:r>
      <w:r w:rsidRPr="007C2321">
        <w:rPr>
          <w:sz w:val="24"/>
          <w:szCs w:val="24"/>
        </w:rPr>
        <w:t>: Professor Lynn Kuo</w:t>
      </w:r>
      <w:r w:rsidR="00660148">
        <w:rPr>
          <w:sz w:val="24"/>
          <w:szCs w:val="24"/>
        </w:rPr>
        <w:t xml:space="preserve">, AUST 330, </w:t>
      </w:r>
      <w:r w:rsidRPr="007C2321">
        <w:rPr>
          <w:sz w:val="24"/>
          <w:szCs w:val="24"/>
        </w:rPr>
        <w:t>860-486-2951</w:t>
      </w:r>
      <w:r w:rsidR="007C2321" w:rsidRPr="007C2321">
        <w:rPr>
          <w:sz w:val="24"/>
          <w:szCs w:val="24"/>
        </w:rPr>
        <w:t xml:space="preserve">, </w:t>
      </w:r>
      <w:hyperlink r:id="rId5" w:history="1">
        <w:r w:rsidR="00660148" w:rsidRPr="00447831">
          <w:rPr>
            <w:rStyle w:val="Hyperlink"/>
            <w:sz w:val="24"/>
            <w:szCs w:val="24"/>
          </w:rPr>
          <w:t>lynn.kuo@uconn.edu</w:t>
        </w:r>
      </w:hyperlink>
    </w:p>
    <w:p w:rsidR="00660148" w:rsidRPr="007C2321" w:rsidRDefault="006601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Office hours: M</w:t>
      </w:r>
      <w:r w:rsidR="00C35BC0">
        <w:rPr>
          <w:sz w:val="24"/>
          <w:szCs w:val="24"/>
        </w:rPr>
        <w:t xml:space="preserve"> and </w:t>
      </w:r>
      <w:proofErr w:type="spellStart"/>
      <w:r w:rsidR="00C35BC0"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 5</w:t>
      </w:r>
      <w:r w:rsidR="00C35BC0">
        <w:rPr>
          <w:sz w:val="24"/>
          <w:szCs w:val="24"/>
        </w:rPr>
        <w:t>:30</w:t>
      </w:r>
      <w:r>
        <w:rPr>
          <w:sz w:val="24"/>
          <w:szCs w:val="24"/>
        </w:rPr>
        <w:t xml:space="preserve"> pm to 6:</w:t>
      </w:r>
      <w:r w:rsidR="00C35BC0">
        <w:rPr>
          <w:sz w:val="24"/>
          <w:szCs w:val="24"/>
        </w:rPr>
        <w:t>30</w:t>
      </w:r>
      <w:r>
        <w:rPr>
          <w:sz w:val="24"/>
          <w:szCs w:val="24"/>
        </w:rPr>
        <w:t xml:space="preserve"> pm. </w:t>
      </w:r>
    </w:p>
    <w:p w:rsidR="00083972" w:rsidRPr="007C2321" w:rsidRDefault="00083972">
      <w:pPr>
        <w:rPr>
          <w:sz w:val="24"/>
          <w:szCs w:val="24"/>
        </w:rPr>
      </w:pPr>
    </w:p>
    <w:p w:rsidR="00A456F8" w:rsidRPr="007C2321" w:rsidRDefault="00083972">
      <w:pPr>
        <w:rPr>
          <w:sz w:val="24"/>
          <w:szCs w:val="24"/>
        </w:rPr>
      </w:pPr>
      <w:r w:rsidRPr="007C2321">
        <w:rPr>
          <w:b/>
          <w:sz w:val="24"/>
          <w:szCs w:val="24"/>
        </w:rPr>
        <w:t>Short Introduction</w:t>
      </w:r>
      <w:r w:rsidRPr="007C2321">
        <w:rPr>
          <w:sz w:val="24"/>
          <w:szCs w:val="24"/>
        </w:rPr>
        <w:t xml:space="preserve">:   </w:t>
      </w:r>
      <w:r w:rsidR="00245821">
        <w:rPr>
          <w:sz w:val="24"/>
          <w:szCs w:val="24"/>
        </w:rPr>
        <w:t>H</w:t>
      </w:r>
      <w:r w:rsidR="00132145" w:rsidRPr="007C2321">
        <w:rPr>
          <w:sz w:val="24"/>
          <w:szCs w:val="24"/>
        </w:rPr>
        <w:t>ow to choose a model at an appropriate level of complexity</w:t>
      </w:r>
      <w:r w:rsidR="00245821">
        <w:rPr>
          <w:sz w:val="24"/>
          <w:szCs w:val="24"/>
        </w:rPr>
        <w:t xml:space="preserve"> has been a </w:t>
      </w:r>
      <w:r w:rsidR="00245821" w:rsidRPr="007C2321">
        <w:rPr>
          <w:sz w:val="24"/>
          <w:szCs w:val="24"/>
        </w:rPr>
        <w:t>key problem in statistical modeling</w:t>
      </w:r>
      <w:r w:rsidR="00132145" w:rsidRPr="007C2321">
        <w:rPr>
          <w:sz w:val="24"/>
          <w:szCs w:val="24"/>
        </w:rPr>
        <w:t>. For example, the problem may be choosing the number of clusters in a mixture distribution or the number of factors in a factor analysis</w:t>
      </w:r>
      <w:r w:rsidR="00842924" w:rsidRPr="007C2321">
        <w:rPr>
          <w:sz w:val="24"/>
          <w:szCs w:val="24"/>
        </w:rPr>
        <w:t xml:space="preserve"> with a penalty function</w:t>
      </w:r>
      <w:r w:rsidR="00132145" w:rsidRPr="007C2321">
        <w:rPr>
          <w:sz w:val="24"/>
          <w:szCs w:val="24"/>
        </w:rPr>
        <w:t xml:space="preserve">. </w:t>
      </w:r>
      <w:r w:rsidR="00842924" w:rsidRPr="007C2321">
        <w:rPr>
          <w:sz w:val="24"/>
          <w:szCs w:val="24"/>
        </w:rPr>
        <w:t xml:space="preserve">Bayesian nonparametric methods provide a different approach </w:t>
      </w:r>
      <w:r w:rsidR="00245821">
        <w:rPr>
          <w:sz w:val="24"/>
          <w:szCs w:val="24"/>
        </w:rPr>
        <w:t xml:space="preserve">which </w:t>
      </w:r>
      <w:r w:rsidR="00842924" w:rsidRPr="007C2321">
        <w:rPr>
          <w:sz w:val="24"/>
          <w:szCs w:val="24"/>
        </w:rPr>
        <w:t>allow</w:t>
      </w:r>
      <w:r w:rsidR="00245821">
        <w:rPr>
          <w:sz w:val="24"/>
          <w:szCs w:val="24"/>
        </w:rPr>
        <w:t>s</w:t>
      </w:r>
      <w:r w:rsidR="00842924" w:rsidRPr="007C2321">
        <w:rPr>
          <w:sz w:val="24"/>
          <w:szCs w:val="24"/>
        </w:rPr>
        <w:t xml:space="preserve"> the data to determine the complexity of the model directly. This is why Bayesian nonparametric methods have been favor</w:t>
      </w:r>
      <w:r w:rsidR="00ED00E6">
        <w:rPr>
          <w:sz w:val="24"/>
          <w:szCs w:val="24"/>
        </w:rPr>
        <w:t>ed</w:t>
      </w:r>
      <w:r w:rsidR="00842924" w:rsidRPr="007C2321">
        <w:rPr>
          <w:sz w:val="24"/>
          <w:szCs w:val="24"/>
        </w:rPr>
        <w:t xml:space="preserve"> in </w:t>
      </w:r>
      <w:r w:rsidR="00A456F8" w:rsidRPr="007C2321">
        <w:rPr>
          <w:sz w:val="24"/>
          <w:szCs w:val="24"/>
        </w:rPr>
        <w:t xml:space="preserve">data analysis, </w:t>
      </w:r>
      <w:r w:rsidR="00842924" w:rsidRPr="007C2321">
        <w:rPr>
          <w:sz w:val="24"/>
          <w:szCs w:val="24"/>
        </w:rPr>
        <w:t xml:space="preserve">modern statistics, </w:t>
      </w:r>
      <w:r w:rsidR="00A456F8" w:rsidRPr="007C2321">
        <w:rPr>
          <w:sz w:val="24"/>
          <w:szCs w:val="24"/>
        </w:rPr>
        <w:t xml:space="preserve">and </w:t>
      </w:r>
      <w:r w:rsidR="00842924" w:rsidRPr="007C2321">
        <w:rPr>
          <w:sz w:val="24"/>
          <w:szCs w:val="24"/>
        </w:rPr>
        <w:t>machine learning</w:t>
      </w:r>
      <w:r w:rsidR="00A456F8" w:rsidRPr="007C2321">
        <w:rPr>
          <w:sz w:val="24"/>
          <w:szCs w:val="24"/>
        </w:rPr>
        <w:t xml:space="preserve">. I will start </w:t>
      </w:r>
      <w:r w:rsidR="00245821">
        <w:rPr>
          <w:sz w:val="24"/>
          <w:szCs w:val="24"/>
        </w:rPr>
        <w:t xml:space="preserve">the course </w:t>
      </w:r>
      <w:r w:rsidR="00A456F8" w:rsidRPr="007C2321">
        <w:rPr>
          <w:sz w:val="24"/>
          <w:szCs w:val="24"/>
        </w:rPr>
        <w:t xml:space="preserve">with </w:t>
      </w:r>
      <w:proofErr w:type="spellStart"/>
      <w:r w:rsidR="00A456F8" w:rsidRPr="007C2321">
        <w:rPr>
          <w:sz w:val="24"/>
          <w:szCs w:val="24"/>
        </w:rPr>
        <w:t>Phadia’s</w:t>
      </w:r>
      <w:proofErr w:type="spellEnd"/>
      <w:r w:rsidR="00A456F8" w:rsidRPr="007C2321">
        <w:rPr>
          <w:sz w:val="24"/>
          <w:szCs w:val="24"/>
        </w:rPr>
        <w:t xml:space="preserve"> book on various prior processes including </w:t>
      </w:r>
      <w:proofErr w:type="spellStart"/>
      <w:r w:rsidR="00A456F8" w:rsidRPr="007C2321">
        <w:rPr>
          <w:sz w:val="24"/>
          <w:szCs w:val="24"/>
        </w:rPr>
        <w:t>Dirichlet</w:t>
      </w:r>
      <w:proofErr w:type="spellEnd"/>
      <w:r w:rsidR="00A456F8" w:rsidRPr="007C2321">
        <w:rPr>
          <w:sz w:val="24"/>
          <w:szCs w:val="24"/>
        </w:rPr>
        <w:t xml:space="preserve"> processes (DP), gamma and extended gamma, beta and beta-Stacy, </w:t>
      </w:r>
      <w:proofErr w:type="spellStart"/>
      <w:r w:rsidR="00A456F8" w:rsidRPr="007C2321">
        <w:rPr>
          <w:sz w:val="24"/>
          <w:szCs w:val="24"/>
        </w:rPr>
        <w:t>Polya</w:t>
      </w:r>
      <w:proofErr w:type="spellEnd"/>
      <w:r w:rsidR="00A456F8" w:rsidRPr="007C2321">
        <w:rPr>
          <w:sz w:val="24"/>
          <w:szCs w:val="24"/>
        </w:rPr>
        <w:t xml:space="preserve"> tree, etc. Then I will select several research articles and chapters from </w:t>
      </w:r>
      <w:proofErr w:type="spellStart"/>
      <w:r w:rsidR="00A456F8" w:rsidRPr="007C2321">
        <w:rPr>
          <w:sz w:val="24"/>
          <w:szCs w:val="24"/>
        </w:rPr>
        <w:t>Hjort</w:t>
      </w:r>
      <w:proofErr w:type="spellEnd"/>
      <w:r w:rsidR="00A456F8" w:rsidRPr="007C2321">
        <w:rPr>
          <w:sz w:val="24"/>
          <w:szCs w:val="24"/>
        </w:rPr>
        <w:t xml:space="preserve"> et al </w:t>
      </w:r>
      <w:r w:rsidR="00FC4C2E" w:rsidRPr="007C2321">
        <w:rPr>
          <w:sz w:val="24"/>
          <w:szCs w:val="24"/>
        </w:rPr>
        <w:t xml:space="preserve">and </w:t>
      </w:r>
      <w:proofErr w:type="spellStart"/>
      <w:r w:rsidR="00A456F8" w:rsidRPr="007C2321">
        <w:rPr>
          <w:sz w:val="24"/>
          <w:szCs w:val="24"/>
        </w:rPr>
        <w:t>Mitra</w:t>
      </w:r>
      <w:proofErr w:type="spellEnd"/>
      <w:r w:rsidR="00A456F8" w:rsidRPr="007C2321">
        <w:rPr>
          <w:sz w:val="24"/>
          <w:szCs w:val="24"/>
        </w:rPr>
        <w:t xml:space="preserve"> and M</w:t>
      </w:r>
      <w:r w:rsidR="00736848">
        <w:rPr>
          <w:sz w:val="24"/>
          <w:szCs w:val="24"/>
        </w:rPr>
        <w:t>ü</w:t>
      </w:r>
      <w:r w:rsidR="00A456F8" w:rsidRPr="007C2321">
        <w:rPr>
          <w:sz w:val="24"/>
          <w:szCs w:val="24"/>
        </w:rPr>
        <w:t xml:space="preserve">ller to discuss. They include topics on correlated DP, survival analysis, biostatistics, classification and clustering, genomics, and Bayesian networks and gene interactions. </w:t>
      </w:r>
      <w:r w:rsidR="00186871">
        <w:rPr>
          <w:sz w:val="24"/>
          <w:szCs w:val="24"/>
        </w:rPr>
        <w:t xml:space="preserve">I will put all the reading materials in Husky CT. </w:t>
      </w:r>
      <w:r w:rsidR="00A456F8" w:rsidRPr="007C2321">
        <w:rPr>
          <w:sz w:val="24"/>
          <w:szCs w:val="24"/>
        </w:rPr>
        <w:t xml:space="preserve"> </w:t>
      </w:r>
      <w:r w:rsidR="00A20F2F" w:rsidRPr="007C2321">
        <w:rPr>
          <w:sz w:val="24"/>
          <w:szCs w:val="24"/>
        </w:rPr>
        <w:t xml:space="preserve">I will work with each student on a research project. So a written paper and an in-class presentation on this paper are expected at the end of the semester.  </w:t>
      </w:r>
    </w:p>
    <w:p w:rsidR="00A456F8" w:rsidRPr="007C2321" w:rsidRDefault="00A456F8">
      <w:pPr>
        <w:rPr>
          <w:sz w:val="24"/>
          <w:szCs w:val="24"/>
        </w:rPr>
      </w:pPr>
    </w:p>
    <w:p w:rsidR="00A456F8" w:rsidRPr="007C2321" w:rsidRDefault="00A456F8">
      <w:pPr>
        <w:rPr>
          <w:sz w:val="24"/>
          <w:szCs w:val="24"/>
        </w:rPr>
      </w:pPr>
      <w:r w:rsidRPr="00736848">
        <w:rPr>
          <w:b/>
          <w:sz w:val="24"/>
          <w:szCs w:val="24"/>
        </w:rPr>
        <w:t>P</w:t>
      </w:r>
      <w:r w:rsidR="00083972" w:rsidRPr="00736848">
        <w:rPr>
          <w:b/>
          <w:sz w:val="24"/>
          <w:szCs w:val="24"/>
        </w:rPr>
        <w:t>rerequisites</w:t>
      </w:r>
      <w:r w:rsidRPr="00736848">
        <w:rPr>
          <w:b/>
          <w:sz w:val="24"/>
          <w:szCs w:val="24"/>
        </w:rPr>
        <w:t>:</w:t>
      </w:r>
      <w:r w:rsidRPr="007C2321">
        <w:rPr>
          <w:sz w:val="24"/>
          <w:szCs w:val="24"/>
        </w:rPr>
        <w:t xml:space="preserve"> STAT/BIST 5585 and 5685 or consent of the instructor. </w:t>
      </w:r>
    </w:p>
    <w:p w:rsidR="00A456F8" w:rsidRPr="007C2321" w:rsidRDefault="00A456F8">
      <w:pPr>
        <w:rPr>
          <w:sz w:val="24"/>
          <w:szCs w:val="24"/>
        </w:rPr>
      </w:pPr>
    </w:p>
    <w:p w:rsidR="00373D34" w:rsidRDefault="00373D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Grading: </w:t>
      </w:r>
      <w:r w:rsidRPr="00373D34">
        <w:rPr>
          <w:sz w:val="24"/>
          <w:szCs w:val="24"/>
        </w:rPr>
        <w:t>Attendance (20%), mandatory, especially for presentations given by your cla</w:t>
      </w:r>
      <w:r>
        <w:rPr>
          <w:sz w:val="24"/>
          <w:szCs w:val="24"/>
        </w:rPr>
        <w:t>ss</w:t>
      </w:r>
      <w:r w:rsidRPr="00373D34">
        <w:rPr>
          <w:sz w:val="24"/>
          <w:szCs w:val="24"/>
        </w:rPr>
        <w:t>mates</w:t>
      </w:r>
      <w:r w:rsidR="00F522F8">
        <w:rPr>
          <w:sz w:val="24"/>
          <w:szCs w:val="24"/>
        </w:rPr>
        <w:t>.</w:t>
      </w:r>
      <w:r w:rsidRPr="00373D34">
        <w:rPr>
          <w:sz w:val="24"/>
          <w:szCs w:val="24"/>
        </w:rPr>
        <w:t xml:space="preserve"> </w:t>
      </w:r>
    </w:p>
    <w:p w:rsidR="00373D34" w:rsidRDefault="00373D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Written Paper (50%) due December 14; proposal at most one page is due November </w:t>
      </w:r>
      <w:r w:rsidR="001024C4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>.</w:t>
      </w:r>
    </w:p>
    <w:p w:rsidR="00373D34" w:rsidRDefault="00373D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Presentation (30%)</w:t>
      </w:r>
      <w:r w:rsidR="00D07245">
        <w:rPr>
          <w:sz w:val="24"/>
          <w:szCs w:val="24"/>
        </w:rPr>
        <w:t xml:space="preserve"> at the end of the semester.</w:t>
      </w:r>
    </w:p>
    <w:p w:rsidR="00D07245" w:rsidRPr="00373D34" w:rsidRDefault="00D07245">
      <w:pPr>
        <w:rPr>
          <w:sz w:val="24"/>
          <w:szCs w:val="24"/>
        </w:rPr>
      </w:pPr>
    </w:p>
    <w:p w:rsidR="00083972" w:rsidRPr="007C2321" w:rsidRDefault="002D6748">
      <w:pPr>
        <w:rPr>
          <w:sz w:val="24"/>
          <w:szCs w:val="24"/>
        </w:rPr>
      </w:pPr>
      <w:r w:rsidRPr="007C2321">
        <w:rPr>
          <w:b/>
          <w:sz w:val="24"/>
          <w:szCs w:val="24"/>
        </w:rPr>
        <w:t>T</w:t>
      </w:r>
      <w:r w:rsidR="00083972" w:rsidRPr="007C2321">
        <w:rPr>
          <w:b/>
          <w:sz w:val="24"/>
          <w:szCs w:val="24"/>
        </w:rPr>
        <w:t>extbook</w:t>
      </w:r>
      <w:r w:rsidR="00083972" w:rsidRPr="007C2321">
        <w:rPr>
          <w:sz w:val="24"/>
          <w:szCs w:val="24"/>
        </w:rPr>
        <w:t xml:space="preserve">: </w:t>
      </w:r>
      <w:r w:rsidRPr="007C2321">
        <w:rPr>
          <w:sz w:val="24"/>
          <w:szCs w:val="24"/>
        </w:rPr>
        <w:t xml:space="preserve">No required text books. </w:t>
      </w:r>
    </w:p>
    <w:p w:rsidR="00186871" w:rsidRDefault="00186871">
      <w:pPr>
        <w:rPr>
          <w:sz w:val="24"/>
          <w:szCs w:val="24"/>
        </w:rPr>
      </w:pPr>
    </w:p>
    <w:p w:rsidR="002D6748" w:rsidRDefault="002D6748">
      <w:pPr>
        <w:rPr>
          <w:sz w:val="24"/>
          <w:szCs w:val="24"/>
        </w:rPr>
      </w:pPr>
      <w:r w:rsidRPr="00186871">
        <w:rPr>
          <w:b/>
          <w:sz w:val="24"/>
          <w:szCs w:val="24"/>
        </w:rPr>
        <w:t>Recommended Textbooks</w:t>
      </w:r>
      <w:r w:rsidRPr="007C2321">
        <w:rPr>
          <w:sz w:val="24"/>
          <w:szCs w:val="24"/>
        </w:rPr>
        <w:t>:</w:t>
      </w:r>
    </w:p>
    <w:p w:rsidR="00736848" w:rsidRPr="007C2321" w:rsidRDefault="00736848">
      <w:pPr>
        <w:rPr>
          <w:sz w:val="24"/>
          <w:szCs w:val="24"/>
        </w:rPr>
      </w:pPr>
    </w:p>
    <w:p w:rsidR="00FC4C2E" w:rsidRDefault="00FC4C2E" w:rsidP="00736848">
      <w:pPr>
        <w:numPr>
          <w:ilvl w:val="0"/>
          <w:numId w:val="1"/>
        </w:numPr>
        <w:shd w:val="clear" w:color="auto" w:fill="FFFFFF"/>
        <w:spacing w:line="0" w:lineRule="atLeast"/>
        <w:textAlignment w:val="baseline"/>
        <w:outlineLvl w:val="0"/>
        <w:rPr>
          <w:sz w:val="24"/>
          <w:szCs w:val="24"/>
        </w:rPr>
      </w:pPr>
      <w:r w:rsidRPr="00186871">
        <w:rPr>
          <w:i/>
          <w:sz w:val="24"/>
          <w:szCs w:val="24"/>
        </w:rPr>
        <w:t xml:space="preserve">Prior </w:t>
      </w:r>
      <w:r w:rsidR="00ED00E6">
        <w:rPr>
          <w:i/>
          <w:sz w:val="24"/>
          <w:szCs w:val="24"/>
        </w:rPr>
        <w:t>P</w:t>
      </w:r>
      <w:r w:rsidRPr="00186871">
        <w:rPr>
          <w:i/>
          <w:sz w:val="24"/>
          <w:szCs w:val="24"/>
        </w:rPr>
        <w:t xml:space="preserve">rocesses and </w:t>
      </w:r>
      <w:r w:rsidR="00ED00E6">
        <w:rPr>
          <w:i/>
          <w:sz w:val="24"/>
          <w:szCs w:val="24"/>
        </w:rPr>
        <w:t>T</w:t>
      </w:r>
      <w:r w:rsidRPr="00186871">
        <w:rPr>
          <w:i/>
          <w:sz w:val="24"/>
          <w:szCs w:val="24"/>
        </w:rPr>
        <w:t xml:space="preserve">heir </w:t>
      </w:r>
      <w:r w:rsidR="00ED00E6">
        <w:rPr>
          <w:i/>
          <w:sz w:val="24"/>
          <w:szCs w:val="24"/>
        </w:rPr>
        <w:t>A</w:t>
      </w:r>
      <w:r w:rsidRPr="00186871">
        <w:rPr>
          <w:i/>
          <w:sz w:val="24"/>
          <w:szCs w:val="24"/>
        </w:rPr>
        <w:t>pplications</w:t>
      </w:r>
      <w:r w:rsidR="00736848" w:rsidRPr="00186871">
        <w:rPr>
          <w:i/>
          <w:sz w:val="24"/>
          <w:szCs w:val="24"/>
        </w:rPr>
        <w:t xml:space="preserve">: </w:t>
      </w:r>
      <w:r w:rsidRPr="00186871">
        <w:rPr>
          <w:i/>
          <w:kern w:val="36"/>
          <w:sz w:val="24"/>
          <w:szCs w:val="24"/>
        </w:rPr>
        <w:t>Nonparametric Bayesian Estimation</w:t>
      </w:r>
      <w:r w:rsidR="00186871">
        <w:rPr>
          <w:kern w:val="36"/>
          <w:sz w:val="24"/>
          <w:szCs w:val="24"/>
        </w:rPr>
        <w:t>,</w:t>
      </w:r>
      <w:r w:rsidRPr="007C2321">
        <w:rPr>
          <w:kern w:val="36"/>
          <w:sz w:val="24"/>
          <w:szCs w:val="24"/>
        </w:rPr>
        <w:t xml:space="preserve"> </w:t>
      </w:r>
      <w:r w:rsidR="00736848">
        <w:rPr>
          <w:kern w:val="36"/>
          <w:sz w:val="24"/>
          <w:szCs w:val="24"/>
        </w:rPr>
        <w:t xml:space="preserve">by </w:t>
      </w:r>
      <w:proofErr w:type="spellStart"/>
      <w:r w:rsidRPr="007C2321">
        <w:rPr>
          <w:sz w:val="24"/>
          <w:szCs w:val="24"/>
        </w:rPr>
        <w:t>Eswar</w:t>
      </w:r>
      <w:proofErr w:type="spellEnd"/>
      <w:r w:rsidRPr="007C2321">
        <w:rPr>
          <w:sz w:val="24"/>
          <w:szCs w:val="24"/>
        </w:rPr>
        <w:t xml:space="preserve"> G. </w:t>
      </w:r>
      <w:proofErr w:type="spellStart"/>
      <w:r w:rsidRPr="007C2321">
        <w:rPr>
          <w:sz w:val="24"/>
          <w:szCs w:val="24"/>
        </w:rPr>
        <w:t>Phadia</w:t>
      </w:r>
      <w:proofErr w:type="spellEnd"/>
      <w:r w:rsidRPr="007C2321">
        <w:rPr>
          <w:sz w:val="24"/>
          <w:szCs w:val="24"/>
        </w:rPr>
        <w:t>. Springer, 2013.</w:t>
      </w:r>
    </w:p>
    <w:p w:rsidR="00736848" w:rsidRPr="007C2321" w:rsidRDefault="00736848" w:rsidP="00736848">
      <w:pPr>
        <w:shd w:val="clear" w:color="auto" w:fill="FFFFFF"/>
        <w:spacing w:line="0" w:lineRule="atLeast"/>
        <w:ind w:left="720"/>
        <w:textAlignment w:val="baseline"/>
        <w:outlineLvl w:val="0"/>
        <w:rPr>
          <w:sz w:val="24"/>
          <w:szCs w:val="24"/>
        </w:rPr>
      </w:pPr>
    </w:p>
    <w:p w:rsidR="002D6748" w:rsidRPr="007C2321" w:rsidRDefault="002D6748" w:rsidP="00736848">
      <w:pPr>
        <w:numPr>
          <w:ilvl w:val="0"/>
          <w:numId w:val="1"/>
        </w:numPr>
        <w:shd w:val="clear" w:color="auto" w:fill="FFFFFF"/>
        <w:spacing w:line="0" w:lineRule="atLeast"/>
        <w:textAlignment w:val="baseline"/>
        <w:outlineLvl w:val="0"/>
        <w:rPr>
          <w:sz w:val="24"/>
          <w:szCs w:val="24"/>
        </w:rPr>
      </w:pPr>
      <w:r w:rsidRPr="00186871">
        <w:rPr>
          <w:i/>
          <w:sz w:val="24"/>
          <w:szCs w:val="24"/>
        </w:rPr>
        <w:t xml:space="preserve">Bayesian </w:t>
      </w:r>
      <w:proofErr w:type="spellStart"/>
      <w:r w:rsidR="00ED00E6">
        <w:rPr>
          <w:i/>
          <w:sz w:val="24"/>
          <w:szCs w:val="24"/>
        </w:rPr>
        <w:t>N</w:t>
      </w:r>
      <w:r w:rsidRPr="00186871">
        <w:rPr>
          <w:i/>
          <w:sz w:val="24"/>
          <w:szCs w:val="24"/>
        </w:rPr>
        <w:t>onparametrics</w:t>
      </w:r>
      <w:proofErr w:type="spellEnd"/>
      <w:r w:rsidR="00186871">
        <w:rPr>
          <w:sz w:val="24"/>
          <w:szCs w:val="24"/>
        </w:rPr>
        <w:t>,</w:t>
      </w:r>
      <w:r w:rsidRPr="007C2321">
        <w:rPr>
          <w:sz w:val="24"/>
          <w:szCs w:val="24"/>
        </w:rPr>
        <w:t xml:space="preserve"> Edited by N. L. </w:t>
      </w:r>
      <w:proofErr w:type="spellStart"/>
      <w:r w:rsidRPr="007C2321">
        <w:rPr>
          <w:sz w:val="24"/>
          <w:szCs w:val="24"/>
        </w:rPr>
        <w:t>Hjort</w:t>
      </w:r>
      <w:proofErr w:type="spellEnd"/>
      <w:r w:rsidRPr="007C2321">
        <w:rPr>
          <w:sz w:val="24"/>
          <w:szCs w:val="24"/>
        </w:rPr>
        <w:t>, C. Holmes, P. M</w:t>
      </w:r>
      <w:r w:rsidR="000677DA" w:rsidRPr="00CE39F3">
        <w:rPr>
          <w:sz w:val="24"/>
          <w:szCs w:val="24"/>
          <w:shd w:val="clear" w:color="auto" w:fill="FFFFFF"/>
        </w:rPr>
        <w:t>ü</w:t>
      </w:r>
      <w:r w:rsidRPr="007C2321">
        <w:rPr>
          <w:sz w:val="24"/>
          <w:szCs w:val="24"/>
        </w:rPr>
        <w:t>ller and S. Walker. Cambridge University Press, 2010.</w:t>
      </w:r>
    </w:p>
    <w:p w:rsidR="007C2321" w:rsidRDefault="007C2321" w:rsidP="00736848">
      <w:pPr>
        <w:shd w:val="clear" w:color="auto" w:fill="FFFFFF"/>
        <w:spacing w:line="0" w:lineRule="atLeast"/>
        <w:textAlignment w:val="baseline"/>
        <w:outlineLvl w:val="0"/>
        <w:rPr>
          <w:sz w:val="24"/>
          <w:szCs w:val="24"/>
        </w:rPr>
      </w:pPr>
    </w:p>
    <w:p w:rsidR="00083972" w:rsidRPr="00CE39F3" w:rsidRDefault="007C2321" w:rsidP="00083972">
      <w:pPr>
        <w:numPr>
          <w:ilvl w:val="0"/>
          <w:numId w:val="1"/>
        </w:numPr>
        <w:shd w:val="clear" w:color="auto" w:fill="FFFFFF"/>
        <w:spacing w:line="0" w:lineRule="atLeast"/>
        <w:textAlignment w:val="baseline"/>
        <w:outlineLvl w:val="0"/>
        <w:rPr>
          <w:sz w:val="24"/>
          <w:szCs w:val="24"/>
        </w:rPr>
      </w:pPr>
      <w:r w:rsidRPr="00186871">
        <w:rPr>
          <w:i/>
          <w:sz w:val="24"/>
          <w:szCs w:val="24"/>
          <w:shd w:val="clear" w:color="auto" w:fill="FFFFFF"/>
        </w:rPr>
        <w:t>Nonparametric Bayesian Inference in Biostatistics</w:t>
      </w:r>
      <w:r w:rsidRPr="00CE39F3">
        <w:rPr>
          <w:sz w:val="24"/>
          <w:szCs w:val="24"/>
          <w:shd w:val="clear" w:color="auto" w:fill="FFFFFF"/>
        </w:rPr>
        <w:t xml:space="preserve">, Edited by R. </w:t>
      </w:r>
      <w:proofErr w:type="spellStart"/>
      <w:r w:rsidRPr="00CE39F3">
        <w:rPr>
          <w:sz w:val="24"/>
          <w:szCs w:val="24"/>
          <w:shd w:val="clear" w:color="auto" w:fill="FFFFFF"/>
        </w:rPr>
        <w:t>Mitra</w:t>
      </w:r>
      <w:proofErr w:type="spellEnd"/>
      <w:r w:rsidRPr="00CE39F3">
        <w:rPr>
          <w:sz w:val="24"/>
          <w:szCs w:val="24"/>
          <w:shd w:val="clear" w:color="auto" w:fill="FFFFFF"/>
        </w:rPr>
        <w:t xml:space="preserve"> and P. Müller, Springer 2015.</w:t>
      </w:r>
    </w:p>
    <w:p w:rsidR="00083972" w:rsidRPr="007C2321" w:rsidRDefault="00083972">
      <w:pPr>
        <w:rPr>
          <w:sz w:val="24"/>
          <w:szCs w:val="24"/>
        </w:rPr>
      </w:pPr>
    </w:p>
    <w:sectPr w:rsidR="00083972" w:rsidRPr="007C2321">
      <w:pgSz w:w="12240" w:h="15840"/>
      <w:pgMar w:top="1440" w:right="1319" w:bottom="1440" w:left="1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B333B"/>
    <w:multiLevelType w:val="hybridMultilevel"/>
    <w:tmpl w:val="9262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7DF"/>
    <w:rsid w:val="000677DA"/>
    <w:rsid w:val="00083972"/>
    <w:rsid w:val="001024C4"/>
    <w:rsid w:val="00132145"/>
    <w:rsid w:val="00181B9F"/>
    <w:rsid w:val="00186871"/>
    <w:rsid w:val="002265CE"/>
    <w:rsid w:val="00245821"/>
    <w:rsid w:val="002D6748"/>
    <w:rsid w:val="00373D34"/>
    <w:rsid w:val="005C03AA"/>
    <w:rsid w:val="00660148"/>
    <w:rsid w:val="00736848"/>
    <w:rsid w:val="007C2321"/>
    <w:rsid w:val="00821CF1"/>
    <w:rsid w:val="00842924"/>
    <w:rsid w:val="00A20F2F"/>
    <w:rsid w:val="00A456F8"/>
    <w:rsid w:val="00C35BC0"/>
    <w:rsid w:val="00CE39F3"/>
    <w:rsid w:val="00D07245"/>
    <w:rsid w:val="00E267DF"/>
    <w:rsid w:val="00ED00E6"/>
    <w:rsid w:val="00F522F8"/>
    <w:rsid w:val="00F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CE319-1324-4144-AACA-B5EAB07F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39F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601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nn.kuo@uco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Dell Computer Corporation</Company>
  <LinksUpToDate>false</LinksUpToDate>
  <CharactersWithSpaces>2228</CharactersWithSpaces>
  <SharedDoc>false</SharedDoc>
  <HLinks>
    <vt:vector size="6" baseType="variant">
      <vt:variant>
        <vt:i4>3932232</vt:i4>
      </vt:variant>
      <vt:variant>
        <vt:i4>0</vt:i4>
      </vt:variant>
      <vt:variant>
        <vt:i4>0</vt:i4>
      </vt:variant>
      <vt:variant>
        <vt:i4>5</vt:i4>
      </vt:variant>
      <vt:variant>
        <vt:lpwstr>mailto:lynn.kuo@uconn.edu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Lynn Kuo</dc:creator>
  <cp:keywords/>
  <cp:lastModifiedBy>Kuo, Lynn</cp:lastModifiedBy>
  <cp:revision>2</cp:revision>
  <cp:lastPrinted>2016-08-22T05:12:00Z</cp:lastPrinted>
  <dcterms:created xsi:type="dcterms:W3CDTF">2016-10-14T07:03:00Z</dcterms:created>
  <dcterms:modified xsi:type="dcterms:W3CDTF">2016-10-14T07:03:00Z</dcterms:modified>
</cp:coreProperties>
</file>